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27" w:rsidRDefault="00FA0B27" w:rsidP="00FA0B27">
      <w:pPr>
        <w:spacing w:after="962"/>
        <w:ind w:left="9" w:right="1691"/>
      </w:pPr>
      <w:r>
        <w:t>E</w:t>
      </w:r>
      <w:r>
        <w:t xml:space="preserve">nsayo sobre el sentido de la vida  </w:t>
      </w:r>
    </w:p>
    <w:p w:rsidR="00F867F4" w:rsidRDefault="00FA0B27" w:rsidP="00FA0B27">
      <w:pPr>
        <w:spacing w:after="962"/>
        <w:ind w:left="9" w:right="1691"/>
      </w:pPr>
      <w:bookmarkStart w:id="0" w:name="_GoBack"/>
      <w:r>
        <w:t xml:space="preserve">La cuestión del sentido de la vida surge en los momentos difíciles, cuando experimentamos la </w:t>
      </w:r>
      <w:bookmarkEnd w:id="0"/>
      <w:r>
        <w:t>pérdida de un familiar o perdemos el trabajo; en cambio, cuando todo va bien, nuestra vida parece tener sentido, un senti</w:t>
      </w:r>
      <w:r>
        <w:t xml:space="preserve">do transitorio sostenido por fuentes como el amor, el trabajo o el fútbol. </w:t>
      </w:r>
      <w:r>
        <w:t>En un mundo que nos exige constantemente el éxito, la experiencia del fracaso nos frustra y cuestionamos las leyes, las normas impuestas por nuestros mayores, etc. Todo esto hace q</w:t>
      </w:r>
      <w:r>
        <w:t>ue nos preguntemos cuál es el propósito de nuestras vidas en un sentido existencial; naturalmente, una persona inculta, después de mucha reflexión, diría que el sentido de la vida es vivir, pero si uno va más allá de la superficie, al nivel metafísico, deb</w:t>
      </w:r>
      <w:r>
        <w:t xml:space="preserve">e recurrir a la filosofía. </w:t>
      </w:r>
    </w:p>
    <w:p w:rsidR="00F867F4" w:rsidRDefault="00FA0B27">
      <w:pPr>
        <w:ind w:left="9" w:right="1691"/>
      </w:pPr>
      <w:r>
        <w:t>La cuestión del sentido de la vida ha sido siempre uno de los temas principales del trabajo filosófico, y esta pregunta puede formularse de diferentes maneras: ¿Cuál es el sentido de la vida? ¿Tiene sentido la vida? ¿O la vida n</w:t>
      </w:r>
      <w:r>
        <w:t xml:space="preserve">o tiene sentido y termina con la muerte? </w:t>
      </w:r>
    </w:p>
    <w:p w:rsidR="00F867F4" w:rsidRDefault="00FA0B27">
      <w:pPr>
        <w:ind w:left="9" w:right="1691"/>
      </w:pPr>
      <w:r>
        <w:t xml:space="preserve">Al abordar la vida o la existencia, se puede analizar desde dos perspectivas: en un contexto específico (el individuo) y en un contexto global (el grupo social). </w:t>
      </w:r>
    </w:p>
    <w:p w:rsidR="00F867F4" w:rsidRDefault="00FA0B27">
      <w:pPr>
        <w:ind w:left="9" w:right="1691"/>
      </w:pPr>
      <w:r>
        <w:t xml:space="preserve">El sentido de la vida es único para cada persona. Sólo una persona tiene que encontrarla (Viktor Frankl, 1945). </w:t>
      </w:r>
    </w:p>
    <w:p w:rsidR="00F867F4" w:rsidRDefault="00FA0B27">
      <w:pPr>
        <w:ind w:left="9" w:right="1691"/>
      </w:pPr>
      <w:r>
        <w:t>En nuestra sociedad, la gente necesita "algo" por lo que vivir o morir. Tal vez el objetivo de la mayoría de las personas sea encontrar un sent</w:t>
      </w:r>
      <w:r>
        <w:t xml:space="preserve">ido a sus vidas, por lo que la búsqueda del sentido es una cuestión práctica, no una cuestión de fe. </w:t>
      </w:r>
    </w:p>
    <w:p w:rsidR="00F867F4" w:rsidRDefault="00FA0B27">
      <w:pPr>
        <w:spacing w:after="198"/>
        <w:ind w:left="10" w:right="934"/>
        <w:jc w:val="left"/>
      </w:pPr>
      <w:r>
        <w:t xml:space="preserve">Según Polo M. (2001), Viktor Frankl dice que el sentido es una fuerza importante en la vida de una persona porque necesita vivir una vida con sentido, es </w:t>
      </w:r>
      <w:r>
        <w:t xml:space="preserve">la fuerza que impulsa la vida y se enfrenta a cualquier situación. </w:t>
      </w:r>
    </w:p>
    <w:p w:rsidR="00F867F4" w:rsidRDefault="00FA0B27">
      <w:pPr>
        <w:ind w:left="9" w:right="1691"/>
      </w:pPr>
      <w:r>
        <w:t>Frankl dice: "No inventamos el sentido de nuestras vidas, lo descubrimos. Y lo encontramos cuando nos encontramos en una situación extrema, incluso y sobre todo cuando nos encontramos en u</w:t>
      </w:r>
      <w:r>
        <w:t xml:space="preserve">na situación de falta de libertad. Porque incluso entonces seguimos siendo libres de aceptar o rechazar una oportunidad en la vida, de afrontar una amenaza o de huir de ella. En otras palabras, somos libres de lograr algo significativo o de rechazarlo. </w:t>
      </w:r>
    </w:p>
    <w:p w:rsidR="00F867F4" w:rsidRDefault="00FA0B27">
      <w:pPr>
        <w:ind w:left="9" w:right="1691"/>
      </w:pPr>
      <w:r>
        <w:lastRenderedPageBreak/>
        <w:t>El</w:t>
      </w:r>
      <w:r>
        <w:t xml:space="preserve"> hombre es un ser finito, constreñido por factores biológicos, psicológicos y sociológicos, frente a los cuales tiene la libertad de asumir una posición individual; el hombre no está constreñido por la vida, sino que determina su forma de ser, y por ello t</w:t>
      </w:r>
      <w:r>
        <w:t xml:space="preserve">iene la libertad de cambiar y responsabilizarse de sus actos. </w:t>
      </w:r>
    </w:p>
    <w:p w:rsidR="00F867F4" w:rsidRDefault="00FA0B27">
      <w:pPr>
        <w:ind w:left="9" w:right="1691"/>
      </w:pPr>
      <w:r>
        <w:t xml:space="preserve">En otras palabras, uno tiene la libertad espiritual y la independencia psicológica para dar sentido a </w:t>
      </w:r>
    </w:p>
    <w:p w:rsidR="00F867F4" w:rsidRDefault="00FA0B27">
      <w:pPr>
        <w:ind w:left="9" w:right="1691"/>
      </w:pPr>
      <w:r>
        <w:t>su vida, aunque se encuentre en una situación desfavorable. Este pensamiento abre la posib</w:t>
      </w:r>
      <w:r>
        <w:t xml:space="preserve">ilidad de ser el protagonista de la propia vida; significa la capacidad de encontrar y dar sentido a la propia vida. El contexto no afecta a nuestra actitud. Es la libertad en todas sus manifestaciones. </w:t>
      </w:r>
    </w:p>
    <w:p w:rsidR="00F867F4" w:rsidRDefault="00FA0B27">
      <w:pPr>
        <w:ind w:left="9" w:right="1691"/>
      </w:pPr>
      <w:r>
        <w:t>A este respecto, el autor dice: "La actitud del indi</w:t>
      </w:r>
      <w:r>
        <w:t xml:space="preserve">viduo de aceptar su destino inevitable y todo el sufrimiento que lo acompaña le da una oportunidad única -incluso en las circunstancias más adversas- de dar a su vida un sentido más profundo. Es esta libertad interior, que nadie puede arrebatarnos, la que </w:t>
      </w:r>
      <w:r>
        <w:t xml:space="preserve">da sentido y significado a la existencia de cada persona, y en esta decisión personal reside la posibilidad de valorar o rechazar la dignidad moral que cualquier situación difícil ofrece a la riqueza interior del individuo." </w:t>
      </w:r>
    </w:p>
    <w:p w:rsidR="00F867F4" w:rsidRDefault="00FA0B27">
      <w:pPr>
        <w:spacing w:after="1365"/>
        <w:ind w:left="9" w:right="1691"/>
      </w:pPr>
      <w:r>
        <w:t>La conclusión es que tenemos q</w:t>
      </w:r>
      <w:r>
        <w:t xml:space="preserve">ue cambiar de actitud, dejar de obsesionarnos con el sentido de la vida y, sobre todo, con lo que la vida espera de nosotros, y superar nuestros problemas con una actitud positiva. </w:t>
      </w:r>
    </w:p>
    <w:p w:rsidR="00F867F4" w:rsidRDefault="00FA0B27">
      <w:pPr>
        <w:spacing w:after="0" w:line="259" w:lineRule="auto"/>
        <w:ind w:left="0" w:right="1683" w:firstLine="0"/>
        <w:jc w:val="center"/>
      </w:pPr>
      <w:r>
        <w:rPr>
          <w:b/>
        </w:rPr>
        <w:t>Bibliografía</w:t>
      </w:r>
      <w:r>
        <w:t xml:space="preserve"> </w:t>
      </w:r>
    </w:p>
    <w:p w:rsidR="00F867F4" w:rsidRDefault="00FA0B27">
      <w:pPr>
        <w:numPr>
          <w:ilvl w:val="0"/>
          <w:numId w:val="1"/>
        </w:numPr>
        <w:spacing w:after="34" w:line="259" w:lineRule="auto"/>
        <w:ind w:right="1691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2000707</wp:posOffset>
                </wp:positionH>
                <wp:positionV relativeFrom="paragraph">
                  <wp:posOffset>-50010</wp:posOffset>
                </wp:positionV>
                <wp:extent cx="38100" cy="192024"/>
                <wp:effectExtent l="0" t="0" r="0" b="0"/>
                <wp:wrapNone/>
                <wp:docPr id="1803" name="Group 1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92024"/>
                          <a:chOff x="0" y="0"/>
                          <a:chExt cx="38100" cy="192024"/>
                        </a:xfrm>
                      </wpg:grpSpPr>
                      <wps:wsp>
                        <wps:cNvPr id="2071" name="Shape 2071"/>
                        <wps:cNvSpPr/>
                        <wps:spPr>
                          <a:xfrm>
                            <a:off x="0" y="0"/>
                            <a:ext cx="3810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9202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03" style="width:3pt;height:15.12pt;position:absolute;z-index:-2147483648;mso-position-horizontal-relative:text;mso-position-horizontal:absolute;margin-left:157.536pt;mso-position-vertical-relative:text;margin-top:-3.93784pt;" coordsize="381,1920">
                <v:shape id="Shape 2072" style="position:absolute;width:381;height:1920;left:0;top:0;" coordsize="38100,192024" path="m0,0l38100,0l38100,192024l0,192024l0,0">
                  <v:stroke weight="0pt" endcap="flat" joinstyle="miter" miterlimit="10" on="false" color="#000000" opacity="0"/>
                  <v:fill on="true" color="#eeeeee"/>
                </v:shape>
              </v:group>
            </w:pict>
          </mc:Fallback>
        </mc:AlternateContent>
      </w:r>
      <w:r>
        <w:t xml:space="preserve">Polo Santillán, Miguel. El sentido de la vida (2001) </w:t>
      </w:r>
    </w:p>
    <w:p w:rsidR="00F867F4" w:rsidRDefault="00FA0B27">
      <w:pPr>
        <w:numPr>
          <w:ilvl w:val="0"/>
          <w:numId w:val="1"/>
        </w:numPr>
        <w:spacing w:after="46" w:line="259" w:lineRule="auto"/>
        <w:ind w:right="1691" w:hanging="360"/>
      </w:pPr>
      <w:r>
        <w:t>Vikto</w:t>
      </w:r>
      <w:r>
        <w:t xml:space="preserve">r Frankl. La búsqueda de sentido del hombre. Barcelona: Herder, 2004. </w:t>
      </w:r>
    </w:p>
    <w:p w:rsidR="00F867F4" w:rsidRDefault="00FA0B27">
      <w:pPr>
        <w:numPr>
          <w:ilvl w:val="0"/>
          <w:numId w:val="2"/>
        </w:numPr>
        <w:spacing w:after="1084"/>
        <w:ind w:right="1691" w:hanging="360"/>
      </w:pPr>
      <w:r>
        <w:t xml:space="preserve">Tienda Yepes, Ricardo. "La felicidad y el sentido de la vida". En Fundamentos de la antropología: el ideal de perfección humana. 2ª ed. Revisada. Pamplona: EUNSA. pp. 211237. </w:t>
      </w:r>
    </w:p>
    <w:p w:rsidR="00F867F4" w:rsidRDefault="00FA0B27">
      <w:pPr>
        <w:numPr>
          <w:ilvl w:val="0"/>
          <w:numId w:val="2"/>
        </w:numPr>
        <w:spacing w:after="17" w:line="259" w:lineRule="auto"/>
        <w:ind w:right="1691" w:hanging="360"/>
      </w:pPr>
      <w:r>
        <w:t xml:space="preserve">http://www.logoforo.com/index.asp </w:t>
      </w:r>
    </w:p>
    <w:p w:rsidR="00F867F4" w:rsidRDefault="00FA0B27">
      <w:pPr>
        <w:numPr>
          <w:ilvl w:val="0"/>
          <w:numId w:val="2"/>
        </w:numPr>
        <w:spacing w:after="23" w:line="259" w:lineRule="auto"/>
        <w:ind w:right="1691" w:hanging="360"/>
      </w:pPr>
      <w:r>
        <w:t xml:space="preserve">Wikipedia". Viktor Frankl". [en línea]. 2009 [citado el 3 de junio de 2009]. </w:t>
      </w:r>
    </w:p>
    <w:p w:rsidR="00F867F4" w:rsidRDefault="00FA0B27">
      <w:pPr>
        <w:numPr>
          <w:ilvl w:val="0"/>
          <w:numId w:val="2"/>
        </w:numPr>
        <w:spacing w:after="312" w:line="259" w:lineRule="auto"/>
        <w:ind w:right="1691" w:hanging="360"/>
      </w:pPr>
      <w:r>
        <w:t xml:space="preserve">Disponible en línea: http://es.wikipedia.org/wiki/Victor_Frankl </w:t>
      </w:r>
    </w:p>
    <w:p w:rsidR="00F867F4" w:rsidRDefault="00FA0B27">
      <w:pPr>
        <w:numPr>
          <w:ilvl w:val="0"/>
          <w:numId w:val="2"/>
        </w:numPr>
        <w:spacing w:after="113" w:line="259" w:lineRule="auto"/>
        <w:ind w:right="1691" w:hanging="360"/>
      </w:pPr>
      <w:r>
        <w:lastRenderedPageBreak/>
        <w:t>Wikipedia". La búsqueda de sentido del hombre". [en línea]. 2009 [citado 2009,</w:t>
      </w:r>
      <w:r>
        <w:t xml:space="preserve"> 3 de junio]. </w:t>
      </w:r>
    </w:p>
    <w:p w:rsidR="00F867F4" w:rsidRDefault="00FA0B27">
      <w:pPr>
        <w:numPr>
          <w:ilvl w:val="0"/>
          <w:numId w:val="2"/>
        </w:numPr>
        <w:spacing w:after="18" w:line="259" w:lineRule="auto"/>
        <w:ind w:right="1691" w:hanging="360"/>
      </w:pPr>
      <w:r>
        <w:t xml:space="preserve">Disponible en línea </w:t>
      </w:r>
    </w:p>
    <w:p w:rsidR="00F867F4" w:rsidRDefault="00FA0B27">
      <w:pPr>
        <w:numPr>
          <w:ilvl w:val="0"/>
          <w:numId w:val="2"/>
        </w:numPr>
        <w:spacing w:line="259" w:lineRule="auto"/>
        <w:ind w:right="1691" w:hanging="360"/>
      </w:pPr>
      <w:r>
        <w:t xml:space="preserve">http://es.wikipedia.org/wiki/El_hombre_en_busca_de_sentido </w:t>
      </w:r>
    </w:p>
    <w:sectPr w:rsidR="00F867F4">
      <w:pgSz w:w="12240" w:h="15840"/>
      <w:pgMar w:top="394" w:right="0" w:bottom="2164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E7E91"/>
    <w:multiLevelType w:val="hybridMultilevel"/>
    <w:tmpl w:val="925A29A8"/>
    <w:lvl w:ilvl="0" w:tplc="6B54D5FC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063D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60C7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24FE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FE09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B6BB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8C2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2CD8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6E1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AB0404"/>
    <w:multiLevelType w:val="hybridMultilevel"/>
    <w:tmpl w:val="9AFE9A8E"/>
    <w:lvl w:ilvl="0" w:tplc="D786AE2E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CE91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C26D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3890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508F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BED9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6C72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A47B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83F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F4"/>
    <w:rsid w:val="00F867F4"/>
    <w:rsid w:val="00FA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5860"/>
  <w15:docId w15:val="{8E1C3780-FC5B-4C60-A9EF-3F3C457E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343" w:lineRule="auto"/>
      <w:ind w:left="24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docId:0FB617A7ACCDAD0EB68A6D83EB677233</cp:keywords>
  <cp:lastModifiedBy>samuel</cp:lastModifiedBy>
  <cp:revision>2</cp:revision>
  <dcterms:created xsi:type="dcterms:W3CDTF">2022-11-28T19:44:00Z</dcterms:created>
  <dcterms:modified xsi:type="dcterms:W3CDTF">2022-11-28T19:44:00Z</dcterms:modified>
</cp:coreProperties>
</file>